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215"/>
        <w:tblW w:w="2814" w:type="dxa"/>
        <w:tblLook w:val="04A0" w:firstRow="1" w:lastRow="0" w:firstColumn="1" w:lastColumn="0" w:noHBand="0" w:noVBand="1"/>
      </w:tblPr>
      <w:tblGrid>
        <w:gridCol w:w="1390"/>
        <w:gridCol w:w="1424"/>
      </w:tblGrid>
      <w:tr w:rsidR="00321759" w:rsidRPr="002027D8" w:rsidTr="003C0592">
        <w:trPr>
          <w:trHeight w:val="330"/>
        </w:trPr>
        <w:tc>
          <w:tcPr>
            <w:tcW w:w="1390" w:type="dxa"/>
          </w:tcPr>
          <w:p w:rsidR="00321759" w:rsidRPr="002027D8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2027D8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424" w:type="dxa"/>
          </w:tcPr>
          <w:p w:rsidR="00321759" w:rsidRPr="002027D8" w:rsidRDefault="003C0592" w:rsidP="003C05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2027D8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2027D8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2027D8" w:rsidTr="003C0592">
        <w:trPr>
          <w:trHeight w:val="330"/>
        </w:trPr>
        <w:tc>
          <w:tcPr>
            <w:tcW w:w="1390" w:type="dxa"/>
          </w:tcPr>
          <w:p w:rsidR="00321759" w:rsidRPr="002027D8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2027D8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424" w:type="dxa"/>
          </w:tcPr>
          <w:p w:rsidR="00321759" w:rsidRPr="002027D8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2027D8" w:rsidTr="003C0592">
        <w:trPr>
          <w:trHeight w:val="344"/>
        </w:trPr>
        <w:tc>
          <w:tcPr>
            <w:tcW w:w="1390" w:type="dxa"/>
          </w:tcPr>
          <w:p w:rsidR="00321759" w:rsidRPr="002027D8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2027D8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424" w:type="dxa"/>
          </w:tcPr>
          <w:p w:rsidR="00321759" w:rsidRPr="002027D8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7D8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273">
        <w:rPr>
          <w:rFonts w:cstheme="minorHAnsi"/>
          <w:b/>
          <w:noProof/>
        </w:rPr>
        <w:t xml:space="preserve">                                     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316273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2027D8">
        <w:rPr>
          <w:rFonts w:asciiTheme="minorHAnsi" w:hAnsiTheme="minorHAnsi" w:cstheme="minorHAnsi"/>
          <w:color w:val="auto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316273">
        <w:rPr>
          <w:rFonts w:cstheme="minorHAnsi"/>
          <w:b/>
        </w:rPr>
        <w:t xml:space="preserve">                           </w:t>
      </w:r>
      <w:r w:rsidR="002027D8">
        <w:rPr>
          <w:rFonts w:cstheme="minorHAnsi"/>
          <w:b/>
        </w:rPr>
        <w:t xml:space="preserve">      </w:t>
      </w:r>
      <w:r w:rsidR="00316273">
        <w:rPr>
          <w:rFonts w:cstheme="minorHAnsi"/>
          <w:b/>
        </w:rPr>
        <w:t xml:space="preserve"> 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2075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3C0592" w:rsidRPr="003C0592" w:rsidTr="003C0592">
        <w:trPr>
          <w:trHeight w:val="423"/>
        </w:trPr>
        <w:tc>
          <w:tcPr>
            <w:tcW w:w="9464" w:type="dxa"/>
            <w:gridSpan w:val="2"/>
            <w:vAlign w:val="center"/>
          </w:tcPr>
          <w:p w:rsidR="003C0592" w:rsidRPr="003C0592" w:rsidRDefault="003C0592" w:rsidP="003C0592">
            <w:pPr>
              <w:jc w:val="center"/>
            </w:pPr>
            <w:r w:rsidRPr="003C0592">
              <w:t>GÖREV TANIMI FORMU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Birim Adı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İdari ve Mali İşler Daire Başkanlığı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Unvanı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Şube Müdürü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Görevi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Genel Evrak, Satın Alma ve Tahakkuk İşleri Şube Müdürü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Sınıfı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 xml:space="preserve">Genel İdari Hizmetler 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Üst Yöneticisi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Daire Başkanı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Kendisine Bağlı Birimler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 xml:space="preserve">Evrak Kayıt, Tahakkuk, Personel İşleri, Taşınır Kayıt, </w:t>
            </w:r>
            <w:proofErr w:type="spellStart"/>
            <w:r w:rsidRPr="003C0592">
              <w:t>Satınalma</w:t>
            </w:r>
            <w:proofErr w:type="spellEnd"/>
            <w:r w:rsidRPr="003C0592">
              <w:t>, Kiralama, Bütçeleme, Raporlama ve Kalite-İç Kontrol Birimleri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İş Birliği Yapacağı Birimler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Tüm Birimler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Astları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Şube Müdürlüğü Personeli</w:t>
            </w:r>
          </w:p>
        </w:tc>
      </w:tr>
      <w:tr w:rsidR="003C0592" w:rsidRPr="003C0592" w:rsidTr="003C0592">
        <w:tc>
          <w:tcPr>
            <w:tcW w:w="2367" w:type="dxa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Yokluğunda Vekâlet Eden</w:t>
            </w:r>
          </w:p>
        </w:tc>
        <w:tc>
          <w:tcPr>
            <w:tcW w:w="7097" w:type="dxa"/>
            <w:vAlign w:val="center"/>
          </w:tcPr>
          <w:p w:rsidR="003C0592" w:rsidRPr="003C0592" w:rsidRDefault="003C0592" w:rsidP="003C0592">
            <w:r w:rsidRPr="003C0592">
              <w:t>Başkanlık Şube Müdürleri</w:t>
            </w:r>
          </w:p>
        </w:tc>
      </w:tr>
      <w:tr w:rsidR="003C0592" w:rsidRPr="003C0592" w:rsidTr="003C059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r w:rsidRPr="003C0592">
              <w:t>1. Görevin/İşin Kısa Tanımı</w:t>
            </w:r>
          </w:p>
        </w:tc>
      </w:tr>
      <w:tr w:rsidR="003C0592" w:rsidRPr="003C0592" w:rsidTr="003C0592">
        <w:trPr>
          <w:trHeight w:val="1502"/>
        </w:trPr>
        <w:tc>
          <w:tcPr>
            <w:tcW w:w="9464" w:type="dxa"/>
            <w:gridSpan w:val="2"/>
            <w:vAlign w:val="center"/>
          </w:tcPr>
          <w:p w:rsidR="003C0592" w:rsidRPr="003C0592" w:rsidRDefault="003C0592" w:rsidP="003C0592">
            <w:pPr>
              <w:jc w:val="both"/>
            </w:pPr>
            <w:proofErr w:type="gramStart"/>
            <w:r>
              <w:t>B</w:t>
            </w:r>
            <w:r w:rsidR="00553DBC">
              <w:t xml:space="preserve">irim </w:t>
            </w:r>
            <w:bookmarkStart w:id="0" w:name="_GoBack"/>
            <w:bookmarkEnd w:id="0"/>
            <w:r w:rsidRPr="003C0592">
              <w:t xml:space="preserve">evrak kayıt işlemlerini yürütmek ve takip etmek, tahakkuk süreçlerini yönetmek, personel özlük ve maaş işlemlerini düzenlemek ve kontrol etmek, taşınır kayıt, </w:t>
            </w:r>
            <w:proofErr w:type="spellStart"/>
            <w:r w:rsidRPr="003C0592">
              <w:t>satınalma</w:t>
            </w:r>
            <w:proofErr w:type="spellEnd"/>
            <w:r w:rsidRPr="003C0592">
              <w:t xml:space="preserve"> ve kiralama süreçlerini planlamak ve uygulamak, bütçeleme faaliyetlerini hazırlamak ve izlemek, raporlama ile kalite-iç kontrol süreçlerini gerçekleştirmek; tüm iş ve işlemlerin mevzuata uygun, doğru, eksiksiz ve zamanında yapılmasını sağlamak.</w:t>
            </w:r>
            <w:proofErr w:type="gramEnd"/>
          </w:p>
        </w:tc>
      </w:tr>
      <w:tr w:rsidR="003C0592" w:rsidRPr="003C0592" w:rsidTr="003C0592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3C0592" w:rsidRPr="003C0592" w:rsidRDefault="003C0592" w:rsidP="003C0592">
            <w:pPr>
              <w:jc w:val="center"/>
            </w:pPr>
            <w:r w:rsidRPr="003C0592">
              <w:t>2. Yetki ve Sorumluluklar</w:t>
            </w:r>
          </w:p>
        </w:tc>
      </w:tr>
      <w:tr w:rsidR="003C0592" w:rsidRPr="003C0592" w:rsidTr="003C0592">
        <w:trPr>
          <w:trHeight w:val="2967"/>
        </w:trPr>
        <w:tc>
          <w:tcPr>
            <w:tcW w:w="9464" w:type="dxa"/>
            <w:gridSpan w:val="2"/>
            <w:vAlign w:val="center"/>
          </w:tcPr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bütçe teklifini hazırlamak ve ödenekleri takip etmek; bütçeden yapılacak harcamaların ilgili mevzuata uygunluğunu kontrol etmek, harcamaların hangi tertipten karşılanacağını tespit etmek ve gerekli durumlarda ilave ödenek talebinde bulunmak.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Harcama Belgeleri Yönetmeliği kapsamında Başkanlığa ait tahakkuk, avans ve kredi iş ve işlemlerini yürütmek ve ödeme süreçlerini takip etmek.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uhdesinde görevli personelin özlük, yolluk, maaş ve benzeri iş ve işlemlerini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ödeneklerinde yer alan, Rektörlük ve bağlı birimlere ait elektrik, su, doğalgaz, telefon, internet ve benzeri ödeme işlemlerini gerçekleştirmek.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 xml:space="preserve">2886 </w:t>
            </w:r>
            <w:r>
              <w:t>s</w:t>
            </w:r>
            <w:r w:rsidRPr="003C0592">
              <w:t xml:space="preserve">ayılı Devlet İhale Kanunu hükümleri doğrultusunda ATM ve </w:t>
            </w:r>
            <w:proofErr w:type="gramStart"/>
            <w:r w:rsidRPr="003C0592">
              <w:t>baz</w:t>
            </w:r>
            <w:proofErr w:type="gramEnd"/>
            <w:r w:rsidRPr="003C0592">
              <w:t xml:space="preserve"> istasyonu kiralama iş ve işlemlerini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>
              <w:t>2946 s</w:t>
            </w:r>
            <w:r w:rsidRPr="003C0592">
              <w:t>ayılı Kamu Konutları Kanunu hükümlerine göre lojman başvurularını alma, puanlama, tahsis ve geri alma işlemlerini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Taşınır Mal Yönetmeliği kapsamında Başkanlık Taşınır Kontrol Yetkililiği görevini yerine getirerek, taşınır kayıt yetkilisinin yaptığı kayıt ve işlemleri; düzenlenen belge ve cetvellerin mevzuata ve mali tablolara uygunluğunu kontrol etmek.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 xml:space="preserve">Her mali </w:t>
            </w:r>
            <w:proofErr w:type="gramStart"/>
            <w:r w:rsidRPr="003C0592">
              <w:t>yıl sonunda</w:t>
            </w:r>
            <w:proofErr w:type="gramEnd"/>
            <w:r w:rsidRPr="003C0592">
              <w:t xml:space="preserve"> ambara giren ve çıkan malzemelerin sayım ve dökümlerini, görevlendirilecek heyet ile birlikte yapmak.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Birimlerden gelen bakım, onarım ve mal/malzeme taleplerinin 4734 sayılı Kamu İhale Kanunu’nun 3/e maddesi (DMO Alımları) veya 22/d maddesi (Doğrudan Temin) kapsamında satın alma sürecini takip etmek ve ödeme emri evrakını düzenlemek.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Satın alınan mal ve hizmetlerin muhafazası, teslimi ve ilgili diğer işlemlerini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uhdesinde Kalite Yönetim Sistemi, Birim Öz Değerlendirme, Kurumsal Risk Yönetimi, İç Kontrol ve Yıllık Faaliyet Raporlamalarına ilişkin iş ve işlemleri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web sayfasını güncellemek ve aylık AKTS birim web iç kontrol formunu düzenlemek.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Başkanlık Kimlik Yönetim Sistemi (KYS) birim sorumluluğunu yürütmek.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2"/>
              </w:numPr>
              <w:ind w:left="284"/>
            </w:pPr>
            <w:r w:rsidRPr="003C0592">
              <w:t>Daire Başkanı tarafından verilen diğer görevleri yerine getirmek.</w:t>
            </w:r>
          </w:p>
        </w:tc>
      </w:tr>
      <w:tr w:rsidR="003C0592" w:rsidRPr="003C0592" w:rsidTr="003C0592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3C0592" w:rsidRPr="003C0592" w:rsidRDefault="00B37656" w:rsidP="003C0592">
            <w:pPr>
              <w:jc w:val="center"/>
            </w:pPr>
            <w:r>
              <w:t xml:space="preserve">3. </w:t>
            </w:r>
            <w:r w:rsidR="003C0592" w:rsidRPr="003C0592">
              <w:t>Bağlı Olduğu Mevzuat</w:t>
            </w:r>
          </w:p>
        </w:tc>
      </w:tr>
      <w:tr w:rsidR="003C0592" w:rsidRPr="003C0592" w:rsidTr="003C0592">
        <w:tc>
          <w:tcPr>
            <w:tcW w:w="9464" w:type="dxa"/>
            <w:gridSpan w:val="2"/>
            <w:vAlign w:val="center"/>
          </w:tcPr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657 sayılı Devlet Memurları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4688 sayılı Kamu Görevlileri Sendikaları ve Toplu Sözleşme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5176 sayılı Kamu Görevlileri Etik Kurulu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4982 sayılı Bilgi Edinme Hakkı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3071 sayılı Dilekçe Hakkının Kullanılmasına Dair Kanun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bCs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lastRenderedPageBreak/>
              <w:t>2547 sayılı Yükseköğretim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5510 sayılı Sosyal Sigortalar ve Genel Sağlık Sigortası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4857 sayılı İş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6331 sayılı İş Sağlığı ve Güvenliği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2004 sayılı İcra ve İflas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5237 sayılı Türk Ceza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bCs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3628 sayılı Mal Bildiriminde Bulunulması, Rüşvet ve Yolsuzluklarla Mücadele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5018 sayılı Kamu Mali Yönetimi ve Kontrol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4734 sayılı Kamu İhale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4735 sayılı Kamu İhale Sözleşmeleri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6245 sayılı Harcırah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2886 sayılı Devlet İhale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6183 sayılı Amme Alacaklarının Tahsil Usulü Hakkında Kanun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3065 sayılı Katma Değer Vergisi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213 sayılı Vergi Usul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488 sayılı Damga Vergisi Kanunu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Merkezi Yönetim Harcama Belgeleri Yönetmeliği</w:t>
            </w:r>
          </w:p>
          <w:p w:rsidR="003C0592" w:rsidRPr="00ED7E43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Taşınır Mal Yönetmeliği</w:t>
            </w:r>
          </w:p>
          <w:p w:rsidR="00ED7E43" w:rsidRPr="003C0592" w:rsidRDefault="00ED7E43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Kamu Konutları Yönetmeliği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Kamu Zararlarının Tahsiline İlişkin Usul ve Esaslar Hakkında Yönetmelik</w:t>
            </w:r>
          </w:p>
          <w:p w:rsidR="003C0592" w:rsidRPr="003C0592" w:rsidRDefault="003C0592" w:rsidP="003C0592">
            <w:pPr>
              <w:pStyle w:val="ListeParagraf"/>
              <w:numPr>
                <w:ilvl w:val="0"/>
                <w:numId w:val="33"/>
              </w:numPr>
              <w:ind w:left="284"/>
              <w:rPr>
                <w:rFonts w:eastAsia="Times New Roman"/>
                <w:lang w:eastAsia="tr-TR"/>
              </w:rPr>
            </w:pPr>
            <w:r w:rsidRPr="003C0592">
              <w:rPr>
                <w:rFonts w:eastAsia="Times New Roman"/>
                <w:bCs/>
                <w:lang w:eastAsia="tr-TR"/>
              </w:rPr>
              <w:t>Resmî Yazışmalarda Uygulanacak Usul ve Esaslar Hakkında Yönetmelik</w:t>
            </w:r>
          </w:p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E4F7F"/>
    <w:multiLevelType w:val="hybridMultilevel"/>
    <w:tmpl w:val="08BEC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A21FE"/>
    <w:multiLevelType w:val="hybridMultilevel"/>
    <w:tmpl w:val="660C2F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1C45E5"/>
    <w:multiLevelType w:val="hybridMultilevel"/>
    <w:tmpl w:val="69206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18"/>
  </w:num>
  <w:num w:numId="8">
    <w:abstractNumId w:val="7"/>
  </w:num>
  <w:num w:numId="9">
    <w:abstractNumId w:val="19"/>
  </w:num>
  <w:num w:numId="10">
    <w:abstractNumId w:val="17"/>
  </w:num>
  <w:num w:numId="11">
    <w:abstractNumId w:val="1"/>
  </w:num>
  <w:num w:numId="12">
    <w:abstractNumId w:val="5"/>
  </w:num>
  <w:num w:numId="13">
    <w:abstractNumId w:val="26"/>
  </w:num>
  <w:num w:numId="14">
    <w:abstractNumId w:val="20"/>
  </w:num>
  <w:num w:numId="15">
    <w:abstractNumId w:val="15"/>
  </w:num>
  <w:num w:numId="16">
    <w:abstractNumId w:val="6"/>
  </w:num>
  <w:num w:numId="17">
    <w:abstractNumId w:val="25"/>
  </w:num>
  <w:num w:numId="18">
    <w:abstractNumId w:val="3"/>
  </w:num>
  <w:num w:numId="19">
    <w:abstractNumId w:val="0"/>
  </w:num>
  <w:num w:numId="20">
    <w:abstractNumId w:val="30"/>
  </w:num>
  <w:num w:numId="21">
    <w:abstractNumId w:val="32"/>
  </w:num>
  <w:num w:numId="22">
    <w:abstractNumId w:val="22"/>
  </w:num>
  <w:num w:numId="23">
    <w:abstractNumId w:val="28"/>
  </w:num>
  <w:num w:numId="24">
    <w:abstractNumId w:val="9"/>
  </w:num>
  <w:num w:numId="25">
    <w:abstractNumId w:val="29"/>
  </w:num>
  <w:num w:numId="26">
    <w:abstractNumId w:val="8"/>
  </w:num>
  <w:num w:numId="27">
    <w:abstractNumId w:val="11"/>
  </w:num>
  <w:num w:numId="28">
    <w:abstractNumId w:val="14"/>
  </w:num>
  <w:num w:numId="29">
    <w:abstractNumId w:val="23"/>
  </w:num>
  <w:num w:numId="30">
    <w:abstractNumId w:val="2"/>
  </w:num>
  <w:num w:numId="31">
    <w:abstractNumId w:val="24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3DB"/>
    <w:rsid w:val="00004EF0"/>
    <w:rsid w:val="00007FA8"/>
    <w:rsid w:val="00030A17"/>
    <w:rsid w:val="00037939"/>
    <w:rsid w:val="000857AA"/>
    <w:rsid w:val="000947D2"/>
    <w:rsid w:val="000A4F9A"/>
    <w:rsid w:val="000A7FC3"/>
    <w:rsid w:val="001233DB"/>
    <w:rsid w:val="001328F3"/>
    <w:rsid w:val="00165BAA"/>
    <w:rsid w:val="00190147"/>
    <w:rsid w:val="002027D8"/>
    <w:rsid w:val="00210778"/>
    <w:rsid w:val="00222A60"/>
    <w:rsid w:val="00264753"/>
    <w:rsid w:val="002F0011"/>
    <w:rsid w:val="00316273"/>
    <w:rsid w:val="00321759"/>
    <w:rsid w:val="003A0C15"/>
    <w:rsid w:val="003C0592"/>
    <w:rsid w:val="003E68B4"/>
    <w:rsid w:val="0041421A"/>
    <w:rsid w:val="00420AF2"/>
    <w:rsid w:val="00437877"/>
    <w:rsid w:val="00470899"/>
    <w:rsid w:val="004B1869"/>
    <w:rsid w:val="004C2DFF"/>
    <w:rsid w:val="004C47D3"/>
    <w:rsid w:val="004D4DDD"/>
    <w:rsid w:val="004E68AA"/>
    <w:rsid w:val="0051513C"/>
    <w:rsid w:val="00553DBC"/>
    <w:rsid w:val="00593D71"/>
    <w:rsid w:val="00617FAB"/>
    <w:rsid w:val="006234C0"/>
    <w:rsid w:val="00647816"/>
    <w:rsid w:val="006B43A4"/>
    <w:rsid w:val="006E71D1"/>
    <w:rsid w:val="007045CF"/>
    <w:rsid w:val="00705F9A"/>
    <w:rsid w:val="00755ADF"/>
    <w:rsid w:val="00755DA0"/>
    <w:rsid w:val="0079201F"/>
    <w:rsid w:val="007B1B0D"/>
    <w:rsid w:val="007B468B"/>
    <w:rsid w:val="007D3ACE"/>
    <w:rsid w:val="008128DA"/>
    <w:rsid w:val="008933B8"/>
    <w:rsid w:val="008B3A2A"/>
    <w:rsid w:val="00902E6F"/>
    <w:rsid w:val="00906375"/>
    <w:rsid w:val="00973AF6"/>
    <w:rsid w:val="00986188"/>
    <w:rsid w:val="00995AAC"/>
    <w:rsid w:val="00A66FEE"/>
    <w:rsid w:val="00AA2BB5"/>
    <w:rsid w:val="00AA7E6F"/>
    <w:rsid w:val="00B37656"/>
    <w:rsid w:val="00B91E23"/>
    <w:rsid w:val="00BE4F41"/>
    <w:rsid w:val="00BF564A"/>
    <w:rsid w:val="00C12A3D"/>
    <w:rsid w:val="00C34AA5"/>
    <w:rsid w:val="00C4453B"/>
    <w:rsid w:val="00C63834"/>
    <w:rsid w:val="00C72880"/>
    <w:rsid w:val="00D05B7E"/>
    <w:rsid w:val="00D1386E"/>
    <w:rsid w:val="00D47FB0"/>
    <w:rsid w:val="00D818DF"/>
    <w:rsid w:val="00E2462C"/>
    <w:rsid w:val="00E357E3"/>
    <w:rsid w:val="00E824E2"/>
    <w:rsid w:val="00ED7E43"/>
    <w:rsid w:val="00EF74ED"/>
    <w:rsid w:val="00F0296C"/>
    <w:rsid w:val="00F61B87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898B"/>
  <w15:docId w15:val="{2B3126DC-DE47-48AC-A1D4-3FC7605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20</cp:revision>
  <dcterms:created xsi:type="dcterms:W3CDTF">2025-10-02T12:08:00Z</dcterms:created>
  <dcterms:modified xsi:type="dcterms:W3CDTF">2025-12-24T07:09:00Z</dcterms:modified>
</cp:coreProperties>
</file>